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73" w:rsidRPr="003C2473" w:rsidRDefault="003C2473" w:rsidP="003C2473">
      <w:pPr>
        <w:pStyle w:val="a4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>УДК 616­097.1+612.017.1+612.017.3</w:t>
      </w:r>
    </w:p>
    <w:p w:rsidR="003C2473" w:rsidRPr="003C2473" w:rsidRDefault="003C2473" w:rsidP="003C2473">
      <w:pPr>
        <w:pStyle w:val="a5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>АЛЛЕРГИЯ И ПСЕВДОАЛЛЕРГИЯ: ЭКОЛОГИЧЕСКИЕ АСПЕКТЫ ГЕОГРАФИЧЕСКОЙ ПАТОЛОГИИ</w:t>
      </w:r>
    </w:p>
    <w:p w:rsidR="003C2473" w:rsidRPr="003C2473" w:rsidRDefault="003C2473" w:rsidP="003C2473">
      <w:pPr>
        <w:pStyle w:val="a6"/>
        <w:rPr>
          <w:rFonts w:ascii="Times New Roman" w:hAnsi="Times New Roman"/>
        </w:rPr>
      </w:pPr>
      <w:r w:rsidRPr="003C2473">
        <w:rPr>
          <w:rFonts w:ascii="Times New Roman" w:hAnsi="Times New Roman"/>
        </w:rPr>
        <w:t xml:space="preserve">© 2017 г. С. В. Смирнова, *Е. В. </w:t>
      </w:r>
      <w:proofErr w:type="spellStart"/>
      <w:r w:rsidRPr="003C2473">
        <w:rPr>
          <w:rFonts w:ascii="Times New Roman" w:hAnsi="Times New Roman"/>
        </w:rPr>
        <w:t>Таптыгина</w:t>
      </w:r>
      <w:proofErr w:type="spellEnd"/>
      <w:r w:rsidRPr="003C2473">
        <w:rPr>
          <w:rFonts w:ascii="Times New Roman" w:hAnsi="Times New Roman"/>
        </w:rPr>
        <w:t>, Е. П. Бронникова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Научно­исследовательский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институт медицинских проблем Севера,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*Красноярский государственный медицинский университет </w:t>
      </w:r>
      <w:r w:rsidRPr="003C2473">
        <w:rPr>
          <w:rFonts w:ascii="Times New Roman" w:hAnsi="Times New Roman"/>
          <w:w w:val="100"/>
          <w:sz w:val="24"/>
          <w:szCs w:val="24"/>
        </w:rPr>
        <w:br/>
        <w:t xml:space="preserve">имени профессора В. Ф.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Войно­Ясенецкого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>, г. Красноярск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Проблемы образа жизни современных людей с точки зрения формирования географической патологии глубоки и многогранны. Адаптивные перестройки организма при изменении окружающей среды приобретают большое практическое значение как для оценки функционального состояния органов и систем, так и для разработки научно обоснованных принципов первичной профилактики географической патологии, обусловленной влиянием природных и антропогенных факторов. Среди географической патологии огромную нишу занимают аллергические заболевания, которые относятся не только к генетически, но и экологически детерминированным «болезням цивилизации». Рассматривается дифференцированный подход к изучению распространенности аллергических заболеваний на Севере с учетом основных патогенетических механизмов: истинного аллергического 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псевдоаллергического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. </w:t>
      </w:r>
      <w:r w:rsidRPr="003C2473">
        <w:rPr>
          <w:rFonts w:ascii="Times New Roman" w:hAnsi="Times New Roman"/>
          <w:w w:val="100"/>
          <w:sz w:val="24"/>
          <w:szCs w:val="24"/>
        </w:rPr>
        <w:br/>
        <w:t>В качестве примера представлены результаты эпидемиологического обследования населения Эвенкии. Эпидемиология аллергических заболеваний четко показывает, что человеку необходимо не столько расширять спектр новых антропогенных факторов и создавать оказывающие негативное влияние на организм блага цивилизации, «наживая» новые болезни, сколько знать законы своего существования в согласии с природой, следовать им, а не нарушать их с безумным и массивным упорством. Специфика запуска механизмов аллергии в экстремальных экологических условиях Севера ждет своего решения.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b/>
          <w:bCs/>
          <w:w w:val="100"/>
          <w:sz w:val="24"/>
          <w:szCs w:val="24"/>
        </w:rPr>
        <w:t>Ключевые слова: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 Север, адаптация, экология, географическая патология, аллергия,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псевдоаллергия</w:t>
      </w:r>
      <w:proofErr w:type="spellEnd"/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3C2473" w:rsidRDefault="003C2473" w:rsidP="003C2473">
      <w:pPr>
        <w:rPr>
          <w:rFonts w:ascii="Times New Roman" w:hAnsi="Times New Roman"/>
          <w:sz w:val="24"/>
          <w:szCs w:val="24"/>
        </w:rPr>
      </w:pPr>
    </w:p>
    <w:p w:rsidR="003C2473" w:rsidRPr="003C2473" w:rsidRDefault="003C2473" w:rsidP="003C2473">
      <w:pPr>
        <w:pStyle w:val="a4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>УДК 616.7­057(985)</w:t>
      </w:r>
    </w:p>
    <w:p w:rsidR="003C2473" w:rsidRPr="003C2473" w:rsidRDefault="003C2473" w:rsidP="003C2473">
      <w:pPr>
        <w:pStyle w:val="a5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>Связь патологии костно­мышечной системы с профессией у рабочих подземных рудников АРКТИЧЕСКОЙ ЗОНЫ РОССИЙСКОЙ ФЕДЕРАЦИИ</w:t>
      </w:r>
    </w:p>
    <w:p w:rsidR="003C2473" w:rsidRPr="003C2473" w:rsidRDefault="003C2473" w:rsidP="003C2473">
      <w:pPr>
        <w:pStyle w:val="a6"/>
        <w:rPr>
          <w:rFonts w:ascii="Times New Roman" w:hAnsi="Times New Roman"/>
        </w:rPr>
      </w:pPr>
      <w:r w:rsidRPr="003C2473">
        <w:rPr>
          <w:rFonts w:ascii="Times New Roman" w:hAnsi="Times New Roman"/>
        </w:rPr>
        <w:t xml:space="preserve">© 2017 г. Л. В. Талыкова, И. В. Гущин 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proofErr w:type="spellStart"/>
      <w:proofErr w:type="gramStart"/>
      <w:r w:rsidRPr="003C2473">
        <w:rPr>
          <w:rFonts w:ascii="Times New Roman" w:hAnsi="Times New Roman"/>
          <w:w w:val="100"/>
          <w:sz w:val="24"/>
          <w:szCs w:val="24"/>
        </w:rPr>
        <w:t>Северо­западный</w:t>
      </w:r>
      <w:proofErr w:type="spellEnd"/>
      <w:proofErr w:type="gramEnd"/>
      <w:r w:rsidRPr="003C2473">
        <w:rPr>
          <w:rFonts w:ascii="Times New Roman" w:hAnsi="Times New Roman"/>
          <w:w w:val="100"/>
          <w:sz w:val="24"/>
          <w:szCs w:val="24"/>
        </w:rPr>
        <w:t xml:space="preserve"> научный центр гигиены и общественного здоровья, г. Кировск Мурманской обл.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В статье представлены результаты оценки риска развития общей патологии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костно­мышечной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системы (КМС) у рабочих основных профессий подземного рудника </w:t>
      </w:r>
      <w:r w:rsidRPr="003C2473">
        <w:rPr>
          <w:rFonts w:ascii="Times New Roman" w:hAnsi="Times New Roman"/>
          <w:w w:val="100"/>
          <w:sz w:val="24"/>
          <w:szCs w:val="24"/>
        </w:rPr>
        <w:lastRenderedPageBreak/>
        <w:t xml:space="preserve">Арктической зоны России на основании анализа данных периодического медицинского осмотра 289 представителей указанного контингента в 2010 году. Установлено, что величины значений риска развития патологии КМС и их различия в разных профессиональных группах не могут быть объяснены возрастными изменениями состояния КМС. В то же время сходным величинам риска развития общей патологии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опорно­двигательного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аппарата в профессиях бурильщиков и горнорабочих противопоставлены значительные различия в показателях ежегодного выявления профессиональной патологии КМС в этих же профессиях, что установлено на основании анализа 132 случаев профессиональных болезней указанного класса.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Учитывая особенности проведения экспертной оценки связи заболеваний с профессией, следует признать, что качество оценки условий труда не соответствует их фактическим параметрам, в случае проведенных исследований – тяжести трудового процесса, и, как результат, исключает возможность связать выявленные нарушения функций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опорно­двигательного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аппарата с профессиональным воздействием.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b/>
          <w:bCs/>
          <w:w w:val="100"/>
          <w:sz w:val="24"/>
          <w:szCs w:val="24"/>
        </w:rPr>
        <w:t>Ключевые слова: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 Арктическая зона, профессиональный риск,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костно­мышечная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система, профессиональные заболевания, условия труда, тяжесть трудового процесса</w:t>
      </w:r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3C2473" w:rsidRDefault="003C2473" w:rsidP="003C2473">
      <w:pPr>
        <w:rPr>
          <w:rFonts w:ascii="Times New Roman" w:hAnsi="Times New Roman"/>
          <w:sz w:val="24"/>
          <w:szCs w:val="24"/>
        </w:rPr>
      </w:pPr>
    </w:p>
    <w:p w:rsidR="003C2473" w:rsidRPr="003C2473" w:rsidRDefault="003C2473" w:rsidP="003C2473">
      <w:pPr>
        <w:pStyle w:val="a4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>УДК 612.821:616­053.2/.7</w:t>
      </w:r>
    </w:p>
    <w:p w:rsidR="003C2473" w:rsidRPr="003C2473" w:rsidRDefault="003C2473" w:rsidP="003C2473">
      <w:pPr>
        <w:pStyle w:val="a5"/>
        <w:rPr>
          <w:rFonts w:ascii="Times New Roman" w:hAnsi="Times New Roman"/>
          <w:caps w:val="0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 xml:space="preserve">Особенности нейрофизиологического статуса у детей и подростков </w:t>
      </w:r>
      <w:r w:rsidRPr="003C2473">
        <w:rPr>
          <w:rFonts w:ascii="Times New Roman" w:hAnsi="Times New Roman"/>
          <w:caps w:val="0"/>
          <w:sz w:val="24"/>
          <w:szCs w:val="24"/>
        </w:rPr>
        <w:t>(обзор литературы)</w:t>
      </w:r>
    </w:p>
    <w:p w:rsidR="003C2473" w:rsidRPr="003C2473" w:rsidRDefault="003C2473" w:rsidP="003C2473">
      <w:pPr>
        <w:pStyle w:val="a6"/>
        <w:rPr>
          <w:rFonts w:ascii="Times New Roman" w:hAnsi="Times New Roman"/>
        </w:rPr>
      </w:pPr>
      <w:r w:rsidRPr="003C2473">
        <w:rPr>
          <w:rFonts w:ascii="Times New Roman" w:hAnsi="Times New Roman"/>
        </w:rPr>
        <w:t>© 2017 г. Д. Б. Дёмин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Федеральный исследовательский центр комплексного изучения Арктики Российской академии наук, </w:t>
      </w:r>
      <w:r w:rsidRPr="003C2473">
        <w:rPr>
          <w:rFonts w:ascii="Times New Roman" w:hAnsi="Times New Roman"/>
          <w:w w:val="100"/>
          <w:sz w:val="24"/>
          <w:szCs w:val="24"/>
        </w:rPr>
        <w:br/>
        <w:t>г. Архангельск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В первой части обзора приводится исторический аспект научных направлений возрастной нейрофизиологии, рассматриваются возрастные особенности морфофункционального развития головного мозга и их отражение в его биоэлектрической активности. Показано, что морфологическое созревание различных мозговых структур проявляется как в психофизиологическом развитии ребёнка, так и в изменениях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амплитудно­частотного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спектра электроэнцефалограммы 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пространственно­временной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организации биопотенциалов мозга. Представлены литературные данные, описывающие онтогенетическую динамику электроэнцефалограммы детей и подростков, показаны этапы возрастного формирования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электрогенеза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различных областей головного мозга, а также характерные изменения внутри­ и межполушарных взаимосвязей. Во второй части обсуждаются особенности функционирования вегетативной нервной системы у детей и подростков, акцент делается на физиологических реакциях со стороны сердечно­сосудистой системы у лиц с различными типами вегетативного тонуса. Приведены данные работ, демонстрирующих изменения показателей центральной гемодинамики и вариабельности сердечного ритма у подростков в зависимости от возраста, пола и условий проживания. Кроме того, рассматриваются основные факторы </w:t>
      </w:r>
      <w:r w:rsidRPr="003C2473">
        <w:rPr>
          <w:rFonts w:ascii="Times New Roman" w:hAnsi="Times New Roman"/>
          <w:w w:val="100"/>
          <w:sz w:val="24"/>
          <w:szCs w:val="24"/>
        </w:rPr>
        <w:lastRenderedPageBreak/>
        <w:t xml:space="preserve">внешней и внутренней среды, способные вызывать развитие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нейрорегуляторных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расстройств и вегетативных дисфункций у детей и подростков.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b/>
          <w:bCs/>
          <w:w w:val="100"/>
          <w:sz w:val="24"/>
          <w:szCs w:val="24"/>
        </w:rPr>
        <w:t>Ключевые слова: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 биоэлектрическая активность мозга, вегетативная нервная система, детский и подростковый период</w:t>
      </w:r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C2472B" w:rsidRDefault="003C2473" w:rsidP="003C2473">
      <w:pPr>
        <w:rPr>
          <w:rFonts w:ascii="Times New Roman" w:hAnsi="Times New Roman"/>
          <w:sz w:val="24"/>
          <w:szCs w:val="24"/>
          <w:lang w:val="en-US"/>
        </w:rPr>
      </w:pPr>
    </w:p>
    <w:p w:rsidR="003C2473" w:rsidRPr="00C2472B" w:rsidRDefault="003C2473" w:rsidP="003C24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3C2473">
        <w:rPr>
          <w:rFonts w:ascii="Times New Roman" w:hAnsi="Times New Roman"/>
          <w:sz w:val="24"/>
          <w:szCs w:val="24"/>
        </w:rPr>
        <w:t>УДК</w:t>
      </w:r>
      <w:r w:rsidRPr="00C2472B">
        <w:rPr>
          <w:rFonts w:ascii="Times New Roman" w:hAnsi="Times New Roman"/>
          <w:sz w:val="24"/>
          <w:szCs w:val="24"/>
          <w:lang w:val="en-US"/>
        </w:rPr>
        <w:t xml:space="preserve"> 615.851:612.821</w:t>
      </w:r>
    </w:p>
    <w:p w:rsidR="003C2473" w:rsidRPr="003C2473" w:rsidRDefault="003C2473" w:rsidP="003C2473">
      <w:pPr>
        <w:pStyle w:val="a5"/>
        <w:spacing w:after="85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>СТИЛИ ПСИХОСОМАТИЧЕСКОГО ПОВЕДЕНИЯ У СТУДЕНТОВ С РАЗНЫМИ ПРИЕМАМИ САМОРЕГУЛЯЦИИ В СИТУАЦИИ ЭКЗАМЕНА</w:t>
      </w:r>
    </w:p>
    <w:p w:rsidR="003C2473" w:rsidRPr="003C2473" w:rsidRDefault="003C2473" w:rsidP="003C2473">
      <w:pPr>
        <w:pStyle w:val="a6"/>
        <w:spacing w:after="85"/>
        <w:rPr>
          <w:rFonts w:ascii="Times New Roman" w:hAnsi="Times New Roman"/>
        </w:rPr>
      </w:pPr>
      <w:r w:rsidRPr="003C2473">
        <w:rPr>
          <w:rFonts w:ascii="Times New Roman" w:hAnsi="Times New Roman"/>
        </w:rPr>
        <w:t>© 2017 г. В. М. Бызова, А. Е. Ловягина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Санкт­Петербургский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государственный университет, г.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Санкт­Петербург</w:t>
      </w:r>
      <w:proofErr w:type="spellEnd"/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В статье представлены результаты эмпирического исследования психосоматического поведения студентов во время сессии и приёмов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саморегуляции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 ситуации экзамена. Цель исследования – выявить стили психосоматического поведения у студентов с разными приёмами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саморегуляции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 ситуации экзамена. Методы исследования: психологическое тестирование 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клинико­психологическое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интервью. Выборка: 127 (60 мужчин и 67 женщин) студентов дневного отделения 2–4 курсов в возрасте 19–23 лет. Результаты: выделены четыре группы студентов, статистически значимо различающихся по интенсивности приёмов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саморегуляции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 ситуации экзамена и по стилю психосоматического поведения. Первая группа слабо использует приёмы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саморегуляции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и демонстрирует эмоциональный стиль. Вторая группа активно использует приемы визуализации, а также самоанализ и придерживается когнитивного и поведенческого стилей. Третья группа интенсивно применяет дыхательные техники, переключение внимания, самовнушение и склонна к эмоциональному и психофизическому стилям. Четвертая группа использует разнообразные приёмы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саморегуляции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и проявляет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социально­культурный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стиль. Описаны характеристики эмоционального, когнитивного, психофизического, поведенческого 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социально­культурного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стилей психосоматического поведения и факторы риска психосоматических нарушений у студентов, склонных к тому или иному вышеназванному стилю. Вывод: стили психосоматического поведения различаются у студентов с разными приёмами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саморегуляции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 ситуации экзамена. 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b/>
          <w:bCs/>
          <w:w w:val="100"/>
          <w:sz w:val="24"/>
          <w:szCs w:val="24"/>
        </w:rPr>
        <w:t>Ключевые слова: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 стили психосоматического поведения, приёмы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саморегуляции</w:t>
      </w:r>
      <w:proofErr w:type="spellEnd"/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C2472B" w:rsidRDefault="003C2473" w:rsidP="003C2473">
      <w:pPr>
        <w:rPr>
          <w:rFonts w:ascii="Times New Roman" w:hAnsi="Times New Roman"/>
          <w:sz w:val="24"/>
          <w:szCs w:val="24"/>
          <w:lang w:val="en-US"/>
        </w:rPr>
      </w:pPr>
    </w:p>
    <w:p w:rsidR="003C2473" w:rsidRPr="00C2472B" w:rsidRDefault="003C2473" w:rsidP="003C2473">
      <w:pPr>
        <w:pStyle w:val="a4"/>
        <w:spacing w:after="57"/>
        <w:rPr>
          <w:rFonts w:ascii="Times New Roman" w:hAnsi="Times New Roman"/>
          <w:sz w:val="24"/>
          <w:szCs w:val="24"/>
          <w:lang w:val="en-US"/>
        </w:rPr>
      </w:pPr>
      <w:r w:rsidRPr="003C2473">
        <w:rPr>
          <w:rFonts w:ascii="Times New Roman" w:hAnsi="Times New Roman"/>
          <w:sz w:val="24"/>
          <w:szCs w:val="24"/>
        </w:rPr>
        <w:t>УДК</w:t>
      </w:r>
      <w:r w:rsidRPr="00C2472B">
        <w:rPr>
          <w:rFonts w:ascii="Times New Roman" w:hAnsi="Times New Roman"/>
          <w:sz w:val="24"/>
          <w:szCs w:val="24"/>
          <w:lang w:val="en-US"/>
        </w:rPr>
        <w:t xml:space="preserve"> 616­053.88: 159.922.6</w:t>
      </w:r>
    </w:p>
    <w:p w:rsidR="003C2473" w:rsidRPr="003C2473" w:rsidRDefault="003C2473" w:rsidP="003C2473">
      <w:pPr>
        <w:pStyle w:val="a5"/>
        <w:spacing w:after="57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>ВОЗРАСТНАЯ САМООЦЕНКА ЖЕНЩИН 55–64 ЛЕТ КАК ЭКСПРЕСС­МЕТОД ОПРЕДЕЛЕНИЯ ПАРАМЕТРОВ КАЧЕСТВА ЖИЗНИ В ЦИРКУМПОЛЯРНОМ РЕГИОНЕ</w:t>
      </w:r>
    </w:p>
    <w:p w:rsidR="003C2473" w:rsidRPr="003C2473" w:rsidRDefault="003C2473" w:rsidP="003C2473">
      <w:pPr>
        <w:pStyle w:val="a6"/>
        <w:spacing w:after="57"/>
        <w:rPr>
          <w:rFonts w:ascii="Times New Roman" w:hAnsi="Times New Roman"/>
        </w:rPr>
      </w:pPr>
      <w:r w:rsidRPr="003C2473">
        <w:rPr>
          <w:rFonts w:ascii="Times New Roman" w:hAnsi="Times New Roman"/>
        </w:rPr>
        <w:t xml:space="preserve">© 2017 г. </w:t>
      </w:r>
      <w:r w:rsidRPr="003C2473">
        <w:rPr>
          <w:rFonts w:ascii="Times New Roman" w:hAnsi="Times New Roman"/>
          <w:vertAlign w:val="superscript"/>
        </w:rPr>
        <w:t>1­3</w:t>
      </w:r>
      <w:r w:rsidRPr="003C2473">
        <w:rPr>
          <w:rFonts w:ascii="Times New Roman" w:hAnsi="Times New Roman"/>
        </w:rPr>
        <w:t xml:space="preserve">А. Б. Гудков, </w:t>
      </w:r>
      <w:r w:rsidRPr="003C2473">
        <w:rPr>
          <w:rFonts w:ascii="Times New Roman" w:hAnsi="Times New Roman"/>
          <w:vertAlign w:val="superscript"/>
        </w:rPr>
        <w:t>1</w:t>
      </w:r>
      <w:r w:rsidRPr="003C2473">
        <w:rPr>
          <w:rFonts w:ascii="Times New Roman" w:hAnsi="Times New Roman"/>
        </w:rPr>
        <w:t xml:space="preserve">А. В. Дёмин, </w:t>
      </w:r>
      <w:r w:rsidRPr="003C2473">
        <w:rPr>
          <w:rFonts w:ascii="Times New Roman" w:hAnsi="Times New Roman"/>
          <w:vertAlign w:val="superscript"/>
        </w:rPr>
        <w:t>1</w:t>
      </w:r>
      <w:r w:rsidRPr="003C2473">
        <w:rPr>
          <w:rFonts w:ascii="Times New Roman" w:hAnsi="Times New Roman"/>
        </w:rPr>
        <w:t xml:space="preserve">А. В. </w:t>
      </w:r>
      <w:proofErr w:type="spellStart"/>
      <w:r w:rsidRPr="003C2473">
        <w:rPr>
          <w:rFonts w:ascii="Times New Roman" w:hAnsi="Times New Roman"/>
        </w:rPr>
        <w:t>Грибанов</w:t>
      </w:r>
      <w:proofErr w:type="spellEnd"/>
      <w:r w:rsidRPr="003C2473">
        <w:rPr>
          <w:rFonts w:ascii="Times New Roman" w:hAnsi="Times New Roman"/>
        </w:rPr>
        <w:t>,</w:t>
      </w:r>
      <w:r w:rsidRPr="003C2473">
        <w:rPr>
          <w:rFonts w:ascii="Times New Roman" w:hAnsi="Times New Roman"/>
          <w:vertAlign w:val="superscript"/>
        </w:rPr>
        <w:t xml:space="preserve"> 4</w:t>
      </w:r>
      <w:r w:rsidRPr="003C2473">
        <w:rPr>
          <w:rFonts w:ascii="Times New Roman" w:hAnsi="Times New Roman"/>
        </w:rPr>
        <w:t xml:space="preserve">В. И. </w:t>
      </w:r>
      <w:proofErr w:type="spellStart"/>
      <w:r w:rsidRPr="003C2473">
        <w:rPr>
          <w:rFonts w:ascii="Times New Roman" w:hAnsi="Times New Roman"/>
        </w:rPr>
        <w:t>Торшин</w:t>
      </w:r>
      <w:proofErr w:type="spellEnd"/>
      <w:r w:rsidRPr="003C2473">
        <w:rPr>
          <w:rFonts w:ascii="Times New Roman" w:hAnsi="Times New Roman"/>
        </w:rPr>
        <w:t xml:space="preserve">, </w:t>
      </w:r>
      <w:r w:rsidRPr="003C2473">
        <w:rPr>
          <w:rFonts w:ascii="Times New Roman" w:hAnsi="Times New Roman"/>
          <w:vertAlign w:val="superscript"/>
        </w:rPr>
        <w:t>2</w:t>
      </w:r>
      <w:r w:rsidRPr="003C2473">
        <w:rPr>
          <w:rFonts w:ascii="Times New Roman" w:hAnsi="Times New Roman"/>
        </w:rPr>
        <w:t xml:space="preserve">В. П. Пащенко 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 xml:space="preserve">1 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Институт </w:t>
      </w:r>
      <w:proofErr w:type="spellStart"/>
      <w:proofErr w:type="gramStart"/>
      <w:r w:rsidRPr="003C2473">
        <w:rPr>
          <w:rFonts w:ascii="Times New Roman" w:hAnsi="Times New Roman"/>
          <w:w w:val="100"/>
          <w:sz w:val="24"/>
          <w:szCs w:val="24"/>
        </w:rPr>
        <w:t>медико­биологических</w:t>
      </w:r>
      <w:proofErr w:type="spellEnd"/>
      <w:proofErr w:type="gramEnd"/>
      <w:r w:rsidRPr="003C2473">
        <w:rPr>
          <w:rFonts w:ascii="Times New Roman" w:hAnsi="Times New Roman"/>
          <w:w w:val="100"/>
          <w:sz w:val="24"/>
          <w:szCs w:val="24"/>
        </w:rPr>
        <w:t xml:space="preserve"> исследований Северного (Арктического) федерального университета </w:t>
      </w:r>
      <w:r w:rsidRPr="003C2473">
        <w:rPr>
          <w:rFonts w:ascii="Times New Roman" w:hAnsi="Times New Roman"/>
          <w:w w:val="100"/>
          <w:sz w:val="24"/>
          <w:szCs w:val="24"/>
        </w:rPr>
        <w:br/>
      </w:r>
      <w:r w:rsidRPr="003C2473">
        <w:rPr>
          <w:rFonts w:ascii="Times New Roman" w:hAnsi="Times New Roman"/>
          <w:w w:val="100"/>
          <w:sz w:val="24"/>
          <w:szCs w:val="24"/>
        </w:rPr>
        <w:lastRenderedPageBreak/>
        <w:t xml:space="preserve">имени М. В. Ломоносова; </w:t>
      </w: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>2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Северный государственный медицинский университет; </w:t>
      </w:r>
      <w:r w:rsidRPr="003C2473">
        <w:rPr>
          <w:rFonts w:ascii="Times New Roman" w:hAnsi="Times New Roman"/>
          <w:w w:val="100"/>
          <w:sz w:val="24"/>
          <w:szCs w:val="24"/>
        </w:rPr>
        <w:br/>
      </w: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>3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Федеральный исследовательский центр комплексного изучения Арктики Российской академии наук, </w:t>
      </w:r>
      <w:r w:rsidRPr="003C2473">
        <w:rPr>
          <w:rFonts w:ascii="Times New Roman" w:hAnsi="Times New Roman"/>
          <w:w w:val="100"/>
          <w:sz w:val="24"/>
          <w:szCs w:val="24"/>
        </w:rPr>
        <w:br/>
        <w:t xml:space="preserve">г. Архангельск; </w:t>
      </w: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>4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Российский университет дружбы народов, г. Москва 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>Цель данной работы заключалась в сравнительной оценке параметров качества жизни у жительниц Архангельской области 55–64 лет с разным уровнем возрастной самооценки. В группу исследования были включены 104 женщины, которые сообщили, что чувствуют себя на свой календарный возраст (КВ) и старше, а в группу сравнения – 252 женщины, которые субъективно чувствовали себя моложе своего КВ на 5 лет и более. Темп старения (ТС) у обследованных вычисляли по методике В. П. Войтенко (3­й вариант). Показатели ТС у женщин в группе сравнения оказались меньше, чем в группе исследования (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p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&lt; 0,001). Для оценки качества жизни использовали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опросник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SF­36v2. Установлено, что все шкалы и сгруппированные показатели у женщин в группе сравнения были выше, чем в группе исследования. Полученные результаты свидетельствуют о том, что определение субъективной оценки самочувствия через субъективно переживаемый возраст у женщин может быть информативным показателем общего состояния их здоровья и качества жизни и являться независимым важным критерием прогнозирования риска неблагоприятного старения, развития заболеваний, а также степени адаптации к возрастным изменениям.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b/>
          <w:bCs/>
          <w:w w:val="100"/>
          <w:sz w:val="24"/>
          <w:szCs w:val="24"/>
        </w:rPr>
        <w:t>Ключевые слова: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 женщины 55–64 лет, возрастная самооценка,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субъективно­переживаемый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возраст, качество жизни, темп старения</w:t>
      </w:r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C2472B" w:rsidRDefault="003C2473" w:rsidP="003C2473">
      <w:pPr>
        <w:rPr>
          <w:rFonts w:ascii="Times New Roman" w:hAnsi="Times New Roman"/>
          <w:sz w:val="24"/>
          <w:szCs w:val="24"/>
          <w:lang w:val="en-US"/>
        </w:rPr>
      </w:pPr>
    </w:p>
    <w:p w:rsidR="003C2473" w:rsidRPr="00C2472B" w:rsidRDefault="003C2473" w:rsidP="003C24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3C2473">
        <w:rPr>
          <w:rFonts w:ascii="Times New Roman" w:hAnsi="Times New Roman"/>
          <w:sz w:val="24"/>
          <w:szCs w:val="24"/>
        </w:rPr>
        <w:t>УДК</w:t>
      </w:r>
      <w:r w:rsidRPr="00C2472B">
        <w:rPr>
          <w:rFonts w:ascii="Times New Roman" w:hAnsi="Times New Roman"/>
          <w:sz w:val="24"/>
          <w:szCs w:val="24"/>
          <w:lang w:val="en-US"/>
        </w:rPr>
        <w:t xml:space="preserve"> 616.89­053.9­07:028.01 </w:t>
      </w:r>
    </w:p>
    <w:p w:rsidR="003C2473" w:rsidRPr="003C2473" w:rsidRDefault="003C2473" w:rsidP="003C2473">
      <w:pPr>
        <w:pStyle w:val="a5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 xml:space="preserve">ОСОБЕННОСТИ ЗРИТЕЛЬНОЙ РЕТЕНЦИИ У ПОЖИЛЫХ ЛЮДЕЙ </w:t>
      </w:r>
      <w:r w:rsidRPr="003C2473">
        <w:rPr>
          <w:rFonts w:ascii="Times New Roman" w:hAnsi="Times New Roman"/>
          <w:sz w:val="24"/>
          <w:szCs w:val="24"/>
        </w:rPr>
        <w:br/>
        <w:t>С РАЗНОЙ ПРОДУКТИВНОСТЬЮ ЧТЕНИЯ</w:t>
      </w:r>
    </w:p>
    <w:p w:rsidR="003C2473" w:rsidRPr="003C2473" w:rsidRDefault="003C2473" w:rsidP="003C2473">
      <w:pPr>
        <w:pStyle w:val="a6"/>
        <w:rPr>
          <w:rFonts w:ascii="Times New Roman" w:hAnsi="Times New Roman"/>
        </w:rPr>
      </w:pPr>
      <w:r w:rsidRPr="003C2473">
        <w:rPr>
          <w:rFonts w:ascii="Times New Roman" w:hAnsi="Times New Roman"/>
        </w:rPr>
        <w:t>© 2016 г. Т. В. Емельянова, Л. В. Соколова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>Северный (Арктический) федеральный университет имени М. В. Ломоносова, г. Архангельск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В статье приведены результаты исследования зрительной ретенции у людей пожилого возраста с разной продуктивностью чтения. Показана значимость процесса чтения в актуализации психических функций и их функциональных систем (на примере зрительной ретенции), что подтверждает роль читательской деятельности в поддержании когнитивного резерва на оптимальном уровне. Обследованы 89 человек в возрасте 60–74 лет, родившиеся и постоянно проживающие на территории Архангельской области. Для оценки продуктивности навыка чтения использовалась методика В. А. Бородиной, С. М. Бородина. В целях исследования особенностей зрительной ретенции применялся тест А.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Бентона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. </w:t>
      </w:r>
      <w:proofErr w:type="gramStart"/>
      <w:r w:rsidRPr="003C2473">
        <w:rPr>
          <w:rFonts w:ascii="Times New Roman" w:hAnsi="Times New Roman"/>
          <w:w w:val="100"/>
          <w:sz w:val="24"/>
          <w:szCs w:val="24"/>
        </w:rPr>
        <w:t xml:space="preserve">Результаты исследования показали, что в пожилом возрасте для сохранности навыка чтения значимы операции удержания четких зрительных образов буквенных знаков, сопоставления оптического представления с акустической 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речедвигательной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составляющими, нарушения которых приводят к распаду читательской деятельности.</w:t>
      </w:r>
      <w:proofErr w:type="gramEnd"/>
      <w:r w:rsidRPr="003C2473">
        <w:rPr>
          <w:rFonts w:ascii="Times New Roman" w:hAnsi="Times New Roman"/>
          <w:w w:val="100"/>
          <w:sz w:val="24"/>
          <w:szCs w:val="24"/>
        </w:rPr>
        <w:t xml:space="preserve"> </w:t>
      </w:r>
      <w:r w:rsidRPr="003C2473">
        <w:rPr>
          <w:rFonts w:ascii="Times New Roman" w:hAnsi="Times New Roman"/>
          <w:w w:val="100"/>
          <w:sz w:val="24"/>
          <w:szCs w:val="24"/>
        </w:rPr>
        <w:lastRenderedPageBreak/>
        <w:t xml:space="preserve">Корреляционный анализ выявил взаимосвязь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структурно­пространственной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организации воспроизводимых фигур с показателями чтения: скорость, усвоение прочитанного и продуктивность чтения снижаются при увеличении количества таких ошибок, как ротация, конфабуляция и искажение. У обследованных пожилых людей с высокой продуктивностью чтения отмечались </w:t>
      </w:r>
      <w:proofErr w:type="gramStart"/>
      <w:r w:rsidRPr="003C2473">
        <w:rPr>
          <w:rFonts w:ascii="Times New Roman" w:hAnsi="Times New Roman"/>
          <w:w w:val="100"/>
          <w:sz w:val="24"/>
          <w:szCs w:val="24"/>
        </w:rPr>
        <w:t>сохранными</w:t>
      </w:r>
      <w:proofErr w:type="gramEnd"/>
      <w:r w:rsidRPr="003C2473">
        <w:rPr>
          <w:rFonts w:ascii="Times New Roman" w:hAnsi="Times New Roman"/>
          <w:w w:val="100"/>
          <w:sz w:val="24"/>
          <w:szCs w:val="24"/>
        </w:rPr>
        <w:t xml:space="preserve"> функции когнитивного контроля, приема, переработки и хранения информации. 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b/>
          <w:bCs/>
          <w:w w:val="100"/>
          <w:sz w:val="24"/>
          <w:szCs w:val="24"/>
        </w:rPr>
        <w:t>Ключевые слова: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 зрительная ретенция, продуктивность чтения, функциональная безграмотность, пожилой возраст</w:t>
      </w:r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C2472B" w:rsidRDefault="003C2473" w:rsidP="003C2473">
      <w:pPr>
        <w:rPr>
          <w:rFonts w:ascii="Times New Roman" w:hAnsi="Times New Roman"/>
          <w:sz w:val="24"/>
          <w:szCs w:val="24"/>
          <w:lang w:val="en-US"/>
        </w:rPr>
      </w:pPr>
    </w:p>
    <w:p w:rsidR="003C2473" w:rsidRPr="00C2472B" w:rsidRDefault="003C2473" w:rsidP="003C24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3C2473">
        <w:rPr>
          <w:rFonts w:ascii="Times New Roman" w:hAnsi="Times New Roman"/>
          <w:sz w:val="24"/>
          <w:szCs w:val="24"/>
        </w:rPr>
        <w:t>УДК</w:t>
      </w:r>
      <w:r w:rsidRPr="00C2472B">
        <w:rPr>
          <w:rFonts w:ascii="Times New Roman" w:hAnsi="Times New Roman"/>
          <w:sz w:val="24"/>
          <w:szCs w:val="24"/>
          <w:lang w:val="en-US"/>
        </w:rPr>
        <w:t xml:space="preserve"> 614.878:616­092.9</w:t>
      </w:r>
    </w:p>
    <w:p w:rsidR="003C2473" w:rsidRPr="003C2473" w:rsidRDefault="003C2473" w:rsidP="003C2473">
      <w:pPr>
        <w:pStyle w:val="a5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>РОЛЬ БИОМОДЕЛИРОВАНИЯ В СИСТЕМЕ ХИМИЧЕСКОЙ БЕЗОПАСНОСТИ ЧЕЛОВЕКА</w:t>
      </w:r>
    </w:p>
    <w:p w:rsidR="003C2473" w:rsidRPr="003C2473" w:rsidRDefault="003C2473" w:rsidP="003C2473">
      <w:pPr>
        <w:pStyle w:val="a6"/>
        <w:rPr>
          <w:rFonts w:ascii="Times New Roman" w:hAnsi="Times New Roman"/>
        </w:rPr>
      </w:pPr>
      <w:r w:rsidRPr="003C2473">
        <w:rPr>
          <w:rFonts w:ascii="Times New Roman" w:hAnsi="Times New Roman"/>
        </w:rPr>
        <w:t xml:space="preserve">© 2017 г. </w:t>
      </w:r>
      <w:r w:rsidRPr="003C2473">
        <w:rPr>
          <w:rFonts w:ascii="Times New Roman" w:hAnsi="Times New Roman"/>
          <w:vertAlign w:val="superscript"/>
        </w:rPr>
        <w:t>1,2</w:t>
      </w:r>
      <w:r w:rsidRPr="003C2473">
        <w:rPr>
          <w:rFonts w:ascii="Times New Roman" w:hAnsi="Times New Roman"/>
        </w:rPr>
        <w:t xml:space="preserve">Л. М. Соседова , </w:t>
      </w:r>
      <w:r w:rsidRPr="003C2473">
        <w:rPr>
          <w:rFonts w:ascii="Times New Roman" w:hAnsi="Times New Roman"/>
          <w:vertAlign w:val="superscript"/>
        </w:rPr>
        <w:t>2</w:t>
      </w:r>
      <w:r w:rsidRPr="003C2473">
        <w:rPr>
          <w:rFonts w:ascii="Times New Roman" w:hAnsi="Times New Roman"/>
        </w:rPr>
        <w:t>Т. М. Филиппова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>1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Восточно­Сибирский институт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медико­экологических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исследований,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>2</w:t>
      </w:r>
      <w:r w:rsidRPr="003C2473">
        <w:rPr>
          <w:rFonts w:ascii="Times New Roman" w:hAnsi="Times New Roman"/>
          <w:w w:val="100"/>
          <w:sz w:val="24"/>
          <w:szCs w:val="24"/>
        </w:rPr>
        <w:t>Ангарский государственный технический университет, г. Ангарск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Целью выполненных исследований явилось выяснение роли экспериментального моделирования и разработка методологических подходов в решении вопросов, связанных с химической безопасностью человека в условиях возрастающего экологического прессинга населения. В статье рассматриваются вопросы, связанные с экспериментальным изучением биологических эффектов действия на организм лабораторных животных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наноструктурированных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веществ, промышленных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нейротоксикантов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, сочетанного воздействия биологического и химического факторов. При введении в организм белых крыс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наносеребра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, инкапсулированного в полимерную матрицу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арабиногалактан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, установлено формирование в нервной ткани головного мозга процесса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апоптоза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нейронов, несмотря на отсутствие общей токсичности при введении вещества белым крысам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внутрижелудочно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(4 класс – вещество малоопасное). Обоснована потребность в разработке новых подходов к оценке общебиологического риска воздействия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нанопрепаратов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, обладающих высокой специфичностью к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биомишеням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, на клеточном и внутриклеточном уровнях. Научно обоснована методология изучения и оценки характера сочетанного действия биологических и химических факторов в эксперименте, базирующаяся на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интергальном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подходе к ответной реакции организма, учете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донозологического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состояния организма. </w:t>
      </w:r>
      <w:proofErr w:type="gramStart"/>
      <w:r w:rsidRPr="003C2473">
        <w:rPr>
          <w:rFonts w:ascii="Times New Roman" w:hAnsi="Times New Roman"/>
          <w:w w:val="100"/>
          <w:sz w:val="24"/>
          <w:szCs w:val="24"/>
        </w:rPr>
        <w:t xml:space="preserve">При воздействии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нейротоксикантов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 экспериментальных условиях выявлены основные точки реализации патологического процесса и факторы, обусловливающие формирование и прогрессирование токсической энцефалопатии, разработан и адаптирован комплекс высокочувствительных методов, позволяющий оценить различные звенья патологического процесса в центральном и периферическом отделах нервной системы.</w:t>
      </w:r>
      <w:proofErr w:type="gramEnd"/>
      <w:r w:rsidRPr="003C2473">
        <w:rPr>
          <w:rFonts w:ascii="Times New Roman" w:hAnsi="Times New Roman"/>
          <w:w w:val="100"/>
          <w:sz w:val="24"/>
          <w:szCs w:val="24"/>
        </w:rPr>
        <w:t xml:space="preserve"> В целом экспериментальные исследования дают возможность управлять рисками и механизмами формирования патологических процессов при воздействии экологических факторов на организм человека и существенно </w:t>
      </w:r>
      <w:r w:rsidRPr="003C2473">
        <w:rPr>
          <w:rFonts w:ascii="Times New Roman" w:hAnsi="Times New Roman"/>
          <w:w w:val="100"/>
          <w:sz w:val="24"/>
          <w:szCs w:val="24"/>
        </w:rPr>
        <w:lastRenderedPageBreak/>
        <w:t xml:space="preserve">повышают эффективность разработанных способов диагностики, лечения, профилактики и реабилитации. 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b/>
          <w:bCs/>
          <w:w w:val="100"/>
          <w:sz w:val="24"/>
          <w:szCs w:val="24"/>
        </w:rPr>
        <w:t>Ключевые слова: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 эксперимент, лабораторные животные,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нанокомпозиты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серебра,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нейротоксиканты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>, биологический и химический фактор</w:t>
      </w:r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C2472B" w:rsidRDefault="003C2473" w:rsidP="003C2473">
      <w:pPr>
        <w:rPr>
          <w:rFonts w:ascii="Times New Roman" w:hAnsi="Times New Roman"/>
          <w:sz w:val="24"/>
          <w:szCs w:val="24"/>
          <w:lang w:val="en-US"/>
        </w:rPr>
      </w:pPr>
    </w:p>
    <w:p w:rsidR="003C2473" w:rsidRPr="003C2473" w:rsidRDefault="003C2473" w:rsidP="003C2473">
      <w:pPr>
        <w:pStyle w:val="a4"/>
        <w:spacing w:after="57"/>
        <w:rPr>
          <w:rFonts w:ascii="Times New Roman" w:hAnsi="Times New Roman"/>
          <w:caps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 xml:space="preserve">УДК 613.84:618.2 </w:t>
      </w:r>
    </w:p>
    <w:p w:rsidR="003C2473" w:rsidRPr="003C2473" w:rsidRDefault="003C2473" w:rsidP="003C2473">
      <w:pPr>
        <w:pStyle w:val="a5"/>
        <w:spacing w:after="57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 xml:space="preserve">Прогностическая модель ВЕРОЯТНОСТИ ПРОДОЛЖЕНИЯ ТАБАКОКУРЕНИЯ </w:t>
      </w:r>
      <w:r w:rsidRPr="003C2473">
        <w:rPr>
          <w:rFonts w:ascii="Times New Roman" w:hAnsi="Times New Roman"/>
          <w:sz w:val="24"/>
          <w:szCs w:val="24"/>
        </w:rPr>
        <w:br/>
        <w:t>во время беременности</w:t>
      </w:r>
    </w:p>
    <w:p w:rsidR="003C2473" w:rsidRPr="003C2473" w:rsidRDefault="003C2473" w:rsidP="003C2473">
      <w:pPr>
        <w:pStyle w:val="a6"/>
        <w:spacing w:after="57"/>
        <w:rPr>
          <w:rFonts w:ascii="Times New Roman" w:hAnsi="Times New Roman"/>
        </w:rPr>
      </w:pPr>
      <w:r w:rsidRPr="003C2473">
        <w:rPr>
          <w:rFonts w:ascii="Times New Roman" w:hAnsi="Times New Roman"/>
        </w:rPr>
        <w:t xml:space="preserve">© 2017 г. О. А. Харькова, А. Г. Соловьев, Л. Г. Киселева, </w:t>
      </w:r>
      <w:proofErr w:type="gramStart"/>
      <w:r w:rsidRPr="003C2473">
        <w:rPr>
          <w:rFonts w:ascii="Times New Roman" w:hAnsi="Times New Roman"/>
        </w:rPr>
        <w:t>Г. Н.</w:t>
      </w:r>
      <w:proofErr w:type="gramEnd"/>
      <w:r w:rsidRPr="003C2473">
        <w:rPr>
          <w:rFonts w:ascii="Times New Roman" w:hAnsi="Times New Roman"/>
        </w:rPr>
        <w:t xml:space="preserve"> Чумакова, </w:t>
      </w:r>
      <w:r w:rsidR="00C2472B">
        <w:rPr>
          <w:rFonts w:ascii="Times New Roman" w:hAnsi="Times New Roman"/>
        </w:rPr>
        <w:t xml:space="preserve">                   </w:t>
      </w:r>
      <w:r w:rsidRPr="003C2473">
        <w:rPr>
          <w:rFonts w:ascii="Times New Roman" w:hAnsi="Times New Roman"/>
        </w:rPr>
        <w:t xml:space="preserve">Е. М. </w:t>
      </w:r>
      <w:proofErr w:type="spellStart"/>
      <w:r w:rsidRPr="003C2473">
        <w:rPr>
          <w:rFonts w:ascii="Times New Roman" w:hAnsi="Times New Roman"/>
        </w:rPr>
        <w:t>Грызунова</w:t>
      </w:r>
      <w:proofErr w:type="spellEnd"/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>Северный государственный медицинский университет, г. Архангельск</w:t>
      </w:r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Табакокурение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во время беременности оказывает негативное </w:t>
      </w:r>
      <w:proofErr w:type="gramStart"/>
      <w:r w:rsidRPr="003C2473">
        <w:rPr>
          <w:rFonts w:ascii="Times New Roman" w:hAnsi="Times New Roman"/>
          <w:w w:val="100"/>
          <w:sz w:val="24"/>
          <w:szCs w:val="24"/>
        </w:rPr>
        <w:t>влияние</w:t>
      </w:r>
      <w:proofErr w:type="gramEnd"/>
      <w:r w:rsidRPr="003C2473">
        <w:rPr>
          <w:rFonts w:ascii="Times New Roman" w:hAnsi="Times New Roman"/>
          <w:w w:val="100"/>
          <w:sz w:val="24"/>
          <w:szCs w:val="24"/>
        </w:rPr>
        <w:t xml:space="preserve"> как на течение беременности, так и на плод и последующее развитие ребенка. Целью работы явилось создание модели прогноза вероятности продолжения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табакокурения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во время беременности, направленной на поиск адекватных подходов в разработке индивидуальной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психокоррекционной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программы. </w:t>
      </w:r>
      <w:r w:rsidRPr="003C2473">
        <w:rPr>
          <w:rFonts w:ascii="Times New Roman" w:hAnsi="Times New Roman"/>
          <w:w w:val="100"/>
          <w:sz w:val="24"/>
          <w:szCs w:val="24"/>
        </w:rPr>
        <w:br/>
        <w:t xml:space="preserve">В одномоментном поперечном </w:t>
      </w:r>
      <w:proofErr w:type="gramStart"/>
      <w:r w:rsidRPr="003C2473">
        <w:rPr>
          <w:rFonts w:ascii="Times New Roman" w:hAnsi="Times New Roman"/>
          <w:w w:val="100"/>
          <w:sz w:val="24"/>
          <w:szCs w:val="24"/>
        </w:rPr>
        <w:t>исследовании</w:t>
      </w:r>
      <w:proofErr w:type="gramEnd"/>
      <w:r w:rsidRPr="003C2473">
        <w:rPr>
          <w:rFonts w:ascii="Times New Roman" w:hAnsi="Times New Roman"/>
          <w:w w:val="100"/>
          <w:sz w:val="24"/>
          <w:szCs w:val="24"/>
        </w:rPr>
        <w:t xml:space="preserve"> приняли участие постоянно проживающие в г. Архангельске и Архангельской области женщины в III триместре беременности, находящиеся на стационарном лечении или готовившиеся к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родоразрешению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 роддомах. На основе изучения психологических особенностей личности был применен множественный регрессионный анализ. 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proofErr w:type="gramStart"/>
      <w:r w:rsidRPr="003C2473">
        <w:rPr>
          <w:rFonts w:ascii="Times New Roman" w:hAnsi="Times New Roman"/>
          <w:w w:val="100"/>
          <w:sz w:val="24"/>
          <w:szCs w:val="24"/>
        </w:rPr>
        <w:t xml:space="preserve">На основании полученных регрессионных коэффициентов и значений взвешенных отношений шансов для каждого из признаков показано, что жилищные условия и локус контроля в области семейных отношений являются наиболее значимыми признаками, отвечающими за продолжение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табакокурения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во время беременности; далее по значимости располагаются инстинкт «свободы», уровень невротизации и наличие элементов депрессивного типа психологической компоненты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гестационной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доминанты.</w:t>
      </w:r>
      <w:proofErr w:type="gramEnd"/>
      <w:r w:rsidRPr="003C2473">
        <w:rPr>
          <w:rFonts w:ascii="Times New Roman" w:hAnsi="Times New Roman"/>
          <w:w w:val="100"/>
          <w:sz w:val="24"/>
          <w:szCs w:val="24"/>
        </w:rPr>
        <w:t xml:space="preserve"> Предложенная модель позволяет спрогнозировать вероятность продолжения курения женщин на основе их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биопсихосоциальных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характеристик, понять, что лежит в основе химической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аддикции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, и наметить индивидуальные маршруты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медико­психологической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помощи.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b/>
          <w:bCs/>
          <w:w w:val="100"/>
          <w:sz w:val="24"/>
          <w:szCs w:val="24"/>
        </w:rPr>
        <w:t>Ключевые слова: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 беременность,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табакокурение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, прогностическая модель </w:t>
      </w:r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C2472B" w:rsidRDefault="003C2473" w:rsidP="003C2473">
      <w:pPr>
        <w:pStyle w:val="a4"/>
        <w:rPr>
          <w:rFonts w:ascii="Times New Roman" w:hAnsi="Times New Roman"/>
          <w:sz w:val="24"/>
          <w:szCs w:val="24"/>
          <w:lang w:val="en-US"/>
        </w:rPr>
      </w:pPr>
      <w:r w:rsidRPr="003C2473">
        <w:rPr>
          <w:rFonts w:ascii="Times New Roman" w:hAnsi="Times New Roman"/>
          <w:sz w:val="24"/>
          <w:szCs w:val="24"/>
        </w:rPr>
        <w:t>УДК</w:t>
      </w:r>
      <w:r w:rsidRPr="00C2472B">
        <w:rPr>
          <w:rFonts w:ascii="Times New Roman" w:hAnsi="Times New Roman"/>
          <w:sz w:val="24"/>
          <w:szCs w:val="24"/>
          <w:lang w:val="en-US"/>
        </w:rPr>
        <w:t xml:space="preserve"> 618.291+616­071.3­053.3</w:t>
      </w:r>
    </w:p>
    <w:p w:rsidR="003C2473" w:rsidRPr="003C2473" w:rsidRDefault="003C2473" w:rsidP="003C2473">
      <w:pPr>
        <w:pStyle w:val="a5"/>
        <w:rPr>
          <w:rFonts w:ascii="Times New Roman" w:hAnsi="Times New Roman"/>
          <w:sz w:val="24"/>
          <w:szCs w:val="24"/>
        </w:rPr>
      </w:pPr>
      <w:r w:rsidRPr="003C2473">
        <w:rPr>
          <w:rFonts w:ascii="Times New Roman" w:hAnsi="Times New Roman"/>
          <w:sz w:val="24"/>
          <w:szCs w:val="24"/>
        </w:rPr>
        <w:t xml:space="preserve">ЦЕНТИЛЬНЫЕ ТАБЛИЦЫ И КРИВЫЕ МАССЫ, ДЛИНЫ ТЕЛА И ОКРУЖНОСТИ ГОЛОВЫ ДЛЯ НОВОРОЖДЕННЫХ ДЕТЕЙ ПРИ ОДНОПЛОДНОЙ БЕРЕМЕННОСТИ </w:t>
      </w:r>
      <w:r w:rsidRPr="003C2473">
        <w:rPr>
          <w:rFonts w:ascii="Times New Roman" w:hAnsi="Times New Roman"/>
          <w:sz w:val="24"/>
          <w:szCs w:val="24"/>
        </w:rPr>
        <w:br/>
        <w:t>(ПО ДАННЫМ РЕГИСТРА РОДОВ АРХАНГЕЛЬСКОЙ ОБЛАСТИ)</w:t>
      </w:r>
    </w:p>
    <w:p w:rsidR="003C2473" w:rsidRPr="003C2473" w:rsidRDefault="003C2473" w:rsidP="003C2473">
      <w:pPr>
        <w:pStyle w:val="a6"/>
        <w:rPr>
          <w:rFonts w:ascii="Times New Roman" w:hAnsi="Times New Roman"/>
        </w:rPr>
      </w:pPr>
      <w:r w:rsidRPr="003C2473">
        <w:rPr>
          <w:rFonts w:ascii="Times New Roman" w:hAnsi="Times New Roman"/>
        </w:rPr>
        <w:t xml:space="preserve">© 2017 г. </w:t>
      </w:r>
      <w:r w:rsidRPr="003C2473">
        <w:rPr>
          <w:rFonts w:ascii="Times New Roman" w:hAnsi="Times New Roman"/>
          <w:vertAlign w:val="superscript"/>
        </w:rPr>
        <w:t>1,2</w:t>
      </w:r>
      <w:r w:rsidRPr="003C2473">
        <w:rPr>
          <w:rFonts w:ascii="Times New Roman" w:hAnsi="Times New Roman"/>
        </w:rPr>
        <w:t xml:space="preserve">А. А. </w:t>
      </w:r>
      <w:proofErr w:type="spellStart"/>
      <w:r w:rsidRPr="003C2473">
        <w:rPr>
          <w:rFonts w:ascii="Times New Roman" w:hAnsi="Times New Roman"/>
        </w:rPr>
        <w:t>Усынина</w:t>
      </w:r>
      <w:proofErr w:type="spellEnd"/>
      <w:r w:rsidRPr="003C2473">
        <w:rPr>
          <w:rFonts w:ascii="Times New Roman" w:hAnsi="Times New Roman"/>
        </w:rPr>
        <w:t xml:space="preserve">, </w:t>
      </w:r>
      <w:r w:rsidRPr="003C2473">
        <w:rPr>
          <w:rFonts w:ascii="Times New Roman" w:hAnsi="Times New Roman"/>
          <w:vertAlign w:val="superscript"/>
        </w:rPr>
        <w:t>1</w:t>
      </w:r>
      <w:r w:rsidRPr="003C2473">
        <w:rPr>
          <w:rFonts w:ascii="Times New Roman" w:hAnsi="Times New Roman"/>
        </w:rPr>
        <w:t xml:space="preserve">В. А. Постоев, </w:t>
      </w:r>
      <w:r w:rsidRPr="003C2473">
        <w:rPr>
          <w:rFonts w:ascii="Times New Roman" w:hAnsi="Times New Roman"/>
          <w:vertAlign w:val="superscript"/>
        </w:rPr>
        <w:t>2,3</w:t>
      </w:r>
      <w:r w:rsidRPr="003C2473">
        <w:rPr>
          <w:rFonts w:ascii="Times New Roman" w:hAnsi="Times New Roman"/>
        </w:rPr>
        <w:t xml:space="preserve">Йон </w:t>
      </w:r>
      <w:proofErr w:type="spellStart"/>
      <w:r w:rsidRPr="003C2473">
        <w:rPr>
          <w:rFonts w:ascii="Times New Roman" w:hAnsi="Times New Roman"/>
        </w:rPr>
        <w:t>Ойвинд</w:t>
      </w:r>
      <w:proofErr w:type="spellEnd"/>
      <w:r w:rsidRPr="003C2473">
        <w:rPr>
          <w:rFonts w:ascii="Times New Roman" w:hAnsi="Times New Roman"/>
        </w:rPr>
        <w:t xml:space="preserve"> </w:t>
      </w:r>
      <w:proofErr w:type="spellStart"/>
      <w:r w:rsidRPr="003C2473">
        <w:rPr>
          <w:rFonts w:ascii="Times New Roman" w:hAnsi="Times New Roman"/>
        </w:rPr>
        <w:t>Одланд</w:t>
      </w:r>
      <w:proofErr w:type="spellEnd"/>
      <w:r w:rsidRPr="003C2473">
        <w:rPr>
          <w:rFonts w:ascii="Times New Roman" w:hAnsi="Times New Roman"/>
        </w:rPr>
        <w:t xml:space="preserve">, </w:t>
      </w:r>
      <w:r w:rsidRPr="003C2473">
        <w:rPr>
          <w:rFonts w:ascii="Times New Roman" w:hAnsi="Times New Roman"/>
          <w:vertAlign w:val="superscript"/>
        </w:rPr>
        <w:t>1</w:t>
      </w:r>
      <w:r w:rsidRPr="003C2473">
        <w:rPr>
          <w:rFonts w:ascii="Times New Roman" w:hAnsi="Times New Roman"/>
        </w:rPr>
        <w:t xml:space="preserve">Г. Н. Чумакова, </w:t>
      </w:r>
      <w:r w:rsidRPr="003C2473">
        <w:rPr>
          <w:rFonts w:ascii="Times New Roman" w:hAnsi="Times New Roman"/>
        </w:rPr>
        <w:br/>
      </w:r>
      <w:r w:rsidRPr="003C2473">
        <w:rPr>
          <w:rFonts w:ascii="Times New Roman" w:hAnsi="Times New Roman"/>
          <w:vertAlign w:val="superscript"/>
        </w:rPr>
        <w:t>1,4­6</w:t>
      </w:r>
      <w:r w:rsidRPr="003C2473">
        <w:rPr>
          <w:rFonts w:ascii="Times New Roman" w:hAnsi="Times New Roman"/>
        </w:rPr>
        <w:t xml:space="preserve">А. М. Гржибовский </w:t>
      </w:r>
    </w:p>
    <w:p w:rsidR="003C2473" w:rsidRPr="003C2473" w:rsidRDefault="003C2473" w:rsidP="003C2473">
      <w:pPr>
        <w:pStyle w:val="a7"/>
        <w:rPr>
          <w:rFonts w:ascii="Times New Roman" w:hAnsi="Times New Roman"/>
          <w:w w:val="100"/>
          <w:sz w:val="24"/>
          <w:szCs w:val="24"/>
        </w:rPr>
      </w:pPr>
      <w:proofErr w:type="gramStart"/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lastRenderedPageBreak/>
        <w:t>1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Северный государственный медицинский университет, г. Архангельск; </w:t>
      </w:r>
      <w:r w:rsidRPr="003C2473">
        <w:rPr>
          <w:rFonts w:ascii="Times New Roman" w:hAnsi="Times New Roman"/>
          <w:w w:val="100"/>
          <w:sz w:val="24"/>
          <w:szCs w:val="24"/>
        </w:rPr>
        <w:br/>
      </w: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>2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Арктический университет Норвегии, г.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Тромсё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, Норвегия; </w:t>
      </w: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>3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Кафедра общественного здравоохранения, </w:t>
      </w:r>
      <w:r w:rsidRPr="003C2473">
        <w:rPr>
          <w:rFonts w:ascii="Times New Roman" w:hAnsi="Times New Roman"/>
          <w:w w:val="100"/>
          <w:sz w:val="24"/>
          <w:szCs w:val="24"/>
        </w:rPr>
        <w:br/>
        <w:t xml:space="preserve">факультет естественных наук, Университет Претории, Претория, ЮАР; </w:t>
      </w: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>4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Национальный институт общественного здравоохранения, г. Осло, Норвегия; </w:t>
      </w: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t>5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Северо­Восточный федеральный университет, г. Якутск; </w:t>
      </w:r>
      <w:r w:rsidRPr="003C2473">
        <w:rPr>
          <w:rFonts w:ascii="Times New Roman" w:hAnsi="Times New Roman"/>
          <w:w w:val="100"/>
          <w:sz w:val="24"/>
          <w:szCs w:val="24"/>
          <w:vertAlign w:val="superscript"/>
        </w:rPr>
        <w:br/>
      </w:r>
      <w:r w:rsidRPr="003C2473">
        <w:rPr>
          <w:rFonts w:ascii="Times New Roman" w:hAnsi="Times New Roman"/>
          <w:w w:val="100"/>
          <w:sz w:val="24"/>
          <w:szCs w:val="24"/>
        </w:rPr>
        <w:t xml:space="preserve">Международный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казахско­турецкий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университет им. Х. А.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Ясави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>, г. Туркестан, Казахстан</w:t>
      </w:r>
      <w:proofErr w:type="gramEnd"/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w w:val="100"/>
          <w:sz w:val="24"/>
          <w:szCs w:val="24"/>
        </w:rPr>
        <w:t xml:space="preserve">Оценка соответствия антропометрических параметров новорожденного ребенка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референтным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значениям для разных сроков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гестации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важна для подтверждения или исключения нарушений физического развития ребенка. В отличие от многих стран в Российской Федерации отсутствуют созданные на основе национального популяционного регистра таблицы и кривые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центильного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распределения массы, длины тела и окружности головы новорожденных детей для разных сроков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гестации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. Целью настоящего исследования было создание на основе Регистра родов Архангельской области за 2012–2014 годы дифференцированных по полу таблиц и кривых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центильного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распределения основных параметров физического развития новорожденных со сроком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гестации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28–42 недели. Из зарегистрированных в региональном регистре родов 42 833 новорожденных от одноплодных беременностей в изучаемую совокупность были включены 42 116 живорожденных детей обоих полов без врожденной патологии, напрямую влияющей на результаты антропометрии. Результаты анализа представлены в виде дифференцированных по полу таблиц с указанием средних значений со стандартными отклонениями и значениями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центильного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распределения, а также в виде кривых массы, длины тела и окружности головы с указанием 10, 50 и 90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центилей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. Проведено сравнение полученных результатов с отечественными и зарубежными данными. Настоящая работа является первым исследованием, посвященным вопросу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центильного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распределения антропометрических параметров новорожденных детей, с использованием данных популяционного регистра в Российской Федерации.</w:t>
      </w:r>
    </w:p>
    <w:p w:rsidR="003C2473" w:rsidRPr="003C2473" w:rsidRDefault="003C2473" w:rsidP="003C2473">
      <w:pPr>
        <w:pStyle w:val="a8"/>
        <w:rPr>
          <w:rFonts w:ascii="Times New Roman" w:hAnsi="Times New Roman"/>
          <w:w w:val="100"/>
          <w:sz w:val="24"/>
          <w:szCs w:val="24"/>
        </w:rPr>
      </w:pPr>
      <w:r w:rsidRPr="003C2473">
        <w:rPr>
          <w:rFonts w:ascii="Times New Roman" w:hAnsi="Times New Roman"/>
          <w:b/>
          <w:bCs/>
          <w:w w:val="100"/>
          <w:sz w:val="24"/>
          <w:szCs w:val="24"/>
        </w:rPr>
        <w:t>Ключевые слова:</w:t>
      </w:r>
      <w:r w:rsidRPr="003C2473">
        <w:rPr>
          <w:rFonts w:ascii="Times New Roman" w:hAnsi="Times New Roman"/>
          <w:w w:val="100"/>
          <w:sz w:val="24"/>
          <w:szCs w:val="24"/>
        </w:rPr>
        <w:t xml:space="preserve"> масса и длина тела, окружность головы, </w:t>
      </w:r>
      <w:proofErr w:type="spellStart"/>
      <w:r w:rsidRPr="003C2473">
        <w:rPr>
          <w:rFonts w:ascii="Times New Roman" w:hAnsi="Times New Roman"/>
          <w:w w:val="100"/>
          <w:sz w:val="24"/>
          <w:szCs w:val="24"/>
        </w:rPr>
        <w:t>центильные</w:t>
      </w:r>
      <w:proofErr w:type="spellEnd"/>
      <w:r w:rsidRPr="003C2473">
        <w:rPr>
          <w:rFonts w:ascii="Times New Roman" w:hAnsi="Times New Roman"/>
          <w:w w:val="100"/>
          <w:sz w:val="24"/>
          <w:szCs w:val="24"/>
        </w:rPr>
        <w:t xml:space="preserve"> таблицы, кривые роста, одноплодная беременность</w:t>
      </w:r>
    </w:p>
    <w:p w:rsidR="003C2473" w:rsidRPr="003C2473" w:rsidRDefault="003C2473" w:rsidP="003C2473">
      <w:pPr>
        <w:pStyle w:val="a3"/>
        <w:rPr>
          <w:rFonts w:ascii="Times New Roman" w:hAnsi="Times New Roman"/>
          <w:sz w:val="24"/>
          <w:szCs w:val="24"/>
        </w:rPr>
      </w:pPr>
    </w:p>
    <w:sectPr w:rsidR="003C2473" w:rsidRPr="003C2473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panose1 w:val="00000000000000000000"/>
    <w:charset w:val="00"/>
    <w:family w:val="modern"/>
    <w:notTrueType/>
    <w:pitch w:val="variable"/>
    <w:sig w:usb0="80000223" w:usb1="00000008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473"/>
    <w:rsid w:val="00061E90"/>
    <w:rsid w:val="003C2473"/>
    <w:rsid w:val="005A26E2"/>
    <w:rsid w:val="00B2646E"/>
    <w:rsid w:val="00C2472B"/>
    <w:rsid w:val="00E06CF1"/>
    <w:rsid w:val="00ED5ADD"/>
    <w:rsid w:val="00E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3C2473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3C2473"/>
    <w:pPr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3C2473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3C2473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3C2473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3C2473"/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3C2473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3C2473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3C2473"/>
    <w:rPr>
      <w:sz w:val="18"/>
      <w:szCs w:val="18"/>
    </w:rPr>
  </w:style>
  <w:style w:type="character" w:styleId="ac">
    <w:name w:val="Hyperlink"/>
    <w:basedOn w:val="a0"/>
    <w:uiPriority w:val="99"/>
    <w:unhideWhenUsed/>
    <w:rsid w:val="003C24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2550</Words>
  <Characters>14535</Characters>
  <Application>Microsoft Office Word</Application>
  <DocSecurity>0</DocSecurity>
  <Lines>121</Lines>
  <Paragraphs>34</Paragraphs>
  <ScaleCrop>false</ScaleCrop>
  <Company>NSMU</Company>
  <LinksUpToDate>false</LinksUpToDate>
  <CharactersWithSpaces>17051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tihonovaev</cp:lastModifiedBy>
  <cp:revision>3</cp:revision>
  <dcterms:created xsi:type="dcterms:W3CDTF">2017-06-20T06:12:00Z</dcterms:created>
  <dcterms:modified xsi:type="dcterms:W3CDTF">2017-07-05T09:47:00Z</dcterms:modified>
</cp:coreProperties>
</file>